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0C" w:rsidRPr="00AD5A02" w:rsidRDefault="000A610C" w:rsidP="00AD5A02">
      <w:pPr>
        <w:jc w:val="center"/>
        <w:rPr>
          <w:rFonts w:ascii="Arial" w:hAnsi="Arial" w:cs="Arial"/>
          <w:b/>
          <w:sz w:val="32"/>
          <w:szCs w:val="32"/>
        </w:rPr>
      </w:pPr>
      <w:r w:rsidRPr="00AD5A0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610C" w:rsidRPr="00AD5A02" w:rsidRDefault="000A610C" w:rsidP="00AD5A02">
      <w:pPr>
        <w:pStyle w:val="1"/>
        <w:rPr>
          <w:rFonts w:ascii="Arial" w:hAnsi="Arial" w:cs="Arial"/>
          <w:bCs w:val="0"/>
          <w:sz w:val="32"/>
          <w:szCs w:val="32"/>
        </w:rPr>
      </w:pPr>
      <w:r w:rsidRPr="00AD5A02">
        <w:rPr>
          <w:rFonts w:ascii="Arial" w:hAnsi="Arial" w:cs="Arial"/>
          <w:bCs w:val="0"/>
          <w:sz w:val="32"/>
          <w:szCs w:val="32"/>
        </w:rPr>
        <w:t xml:space="preserve">АДМИНИСТРАЦИЯ  </w:t>
      </w:r>
      <w:r w:rsidR="00805527" w:rsidRPr="00AD5A02">
        <w:rPr>
          <w:rFonts w:ascii="Arial" w:hAnsi="Arial" w:cs="Arial"/>
          <w:bCs w:val="0"/>
          <w:sz w:val="32"/>
          <w:szCs w:val="32"/>
        </w:rPr>
        <w:t>ЕГОРЬЕВСКОГО</w:t>
      </w:r>
      <w:r w:rsidRPr="00AD5A02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:rsidR="000A610C" w:rsidRPr="00AD5A02" w:rsidRDefault="000A610C" w:rsidP="00AD5A02">
      <w:pPr>
        <w:jc w:val="center"/>
        <w:rPr>
          <w:rFonts w:ascii="Arial" w:hAnsi="Arial" w:cs="Arial"/>
          <w:b/>
          <w:sz w:val="32"/>
          <w:szCs w:val="32"/>
        </w:rPr>
      </w:pPr>
      <w:r w:rsidRPr="00AD5A02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0A610C" w:rsidRPr="00AD5A02" w:rsidRDefault="000A610C" w:rsidP="00AD5A02">
      <w:pPr>
        <w:jc w:val="center"/>
        <w:rPr>
          <w:rFonts w:ascii="Arial" w:hAnsi="Arial" w:cs="Arial"/>
          <w:b/>
          <w:sz w:val="32"/>
          <w:szCs w:val="32"/>
        </w:rPr>
      </w:pPr>
    </w:p>
    <w:p w:rsidR="000A610C" w:rsidRPr="00AD5A02" w:rsidRDefault="000A610C" w:rsidP="00AD5A02">
      <w:pPr>
        <w:pStyle w:val="2"/>
        <w:rPr>
          <w:rFonts w:ascii="Arial" w:hAnsi="Arial" w:cs="Arial"/>
          <w:bCs w:val="0"/>
          <w:sz w:val="32"/>
          <w:szCs w:val="32"/>
        </w:rPr>
      </w:pPr>
      <w:r w:rsidRPr="00AD5A02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0A610C" w:rsidRPr="00AD5A02" w:rsidRDefault="000A610C" w:rsidP="00AD5A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A610C" w:rsidRPr="00AD5A02" w:rsidRDefault="00E96FD6" w:rsidP="00AD5A02">
      <w:pPr>
        <w:jc w:val="center"/>
        <w:rPr>
          <w:rFonts w:ascii="Arial" w:hAnsi="Arial" w:cs="Arial"/>
          <w:b/>
          <w:sz w:val="28"/>
          <w:szCs w:val="28"/>
        </w:rPr>
      </w:pPr>
      <w:r w:rsidRPr="00AD5A02">
        <w:rPr>
          <w:rFonts w:ascii="Arial" w:hAnsi="Arial" w:cs="Arial"/>
          <w:b/>
          <w:sz w:val="28"/>
          <w:szCs w:val="28"/>
        </w:rPr>
        <w:t xml:space="preserve">От </w:t>
      </w:r>
      <w:r w:rsidR="00805527" w:rsidRPr="00AD5A02">
        <w:rPr>
          <w:rFonts w:ascii="Arial" w:hAnsi="Arial" w:cs="Arial"/>
          <w:b/>
          <w:sz w:val="28"/>
          <w:szCs w:val="28"/>
        </w:rPr>
        <w:t>26</w:t>
      </w:r>
      <w:r w:rsidRPr="00AD5A02">
        <w:rPr>
          <w:rFonts w:ascii="Arial" w:hAnsi="Arial" w:cs="Arial"/>
          <w:b/>
          <w:sz w:val="28"/>
          <w:szCs w:val="28"/>
        </w:rPr>
        <w:t>.</w:t>
      </w:r>
      <w:r w:rsidR="00805527" w:rsidRPr="00AD5A02">
        <w:rPr>
          <w:rFonts w:ascii="Arial" w:hAnsi="Arial" w:cs="Arial"/>
          <w:b/>
          <w:sz w:val="28"/>
          <w:szCs w:val="28"/>
        </w:rPr>
        <w:t>09</w:t>
      </w:r>
      <w:r w:rsidRPr="00AD5A02">
        <w:rPr>
          <w:rFonts w:ascii="Arial" w:hAnsi="Arial" w:cs="Arial"/>
          <w:b/>
          <w:sz w:val="28"/>
          <w:szCs w:val="28"/>
        </w:rPr>
        <w:t>.</w:t>
      </w:r>
      <w:r w:rsidR="003F1B2B" w:rsidRPr="00AD5A02">
        <w:rPr>
          <w:rFonts w:ascii="Arial" w:hAnsi="Arial" w:cs="Arial"/>
          <w:b/>
          <w:sz w:val="28"/>
          <w:szCs w:val="28"/>
        </w:rPr>
        <w:t xml:space="preserve"> 2016</w:t>
      </w:r>
      <w:r w:rsidR="000A610C" w:rsidRPr="00AD5A02">
        <w:rPr>
          <w:rFonts w:ascii="Arial" w:hAnsi="Arial" w:cs="Arial"/>
          <w:b/>
          <w:sz w:val="28"/>
          <w:szCs w:val="28"/>
        </w:rPr>
        <w:t xml:space="preserve"> года                                                                        </w:t>
      </w:r>
      <w:r w:rsidR="003F1B2B" w:rsidRPr="00AD5A02">
        <w:rPr>
          <w:rFonts w:ascii="Arial" w:hAnsi="Arial" w:cs="Arial"/>
          <w:b/>
          <w:sz w:val="28"/>
          <w:szCs w:val="28"/>
        </w:rPr>
        <w:t xml:space="preserve">                          № </w:t>
      </w:r>
      <w:r w:rsidR="00805527" w:rsidRPr="00AD5A02">
        <w:rPr>
          <w:rFonts w:ascii="Arial" w:hAnsi="Arial" w:cs="Arial"/>
          <w:b/>
          <w:sz w:val="28"/>
          <w:szCs w:val="28"/>
        </w:rPr>
        <w:t>88-в</w:t>
      </w:r>
    </w:p>
    <w:p w:rsidR="000A610C" w:rsidRPr="00AD5A02" w:rsidRDefault="00AD5A02" w:rsidP="00AD5A02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«</w:t>
      </w:r>
      <w:r w:rsidR="000A610C" w:rsidRPr="00AD5A02">
        <w:rPr>
          <w:rFonts w:ascii="Arial" w:hAnsi="Arial" w:cs="Arial"/>
          <w:b/>
          <w:sz w:val="28"/>
          <w:szCs w:val="28"/>
          <w:lang w:eastAsia="ru-RU"/>
        </w:rPr>
        <w:t>Об утверждении муниципальной программы</w:t>
      </w:r>
      <w:r w:rsidR="00E96FD6" w:rsidRPr="00AD5A02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805527" w:rsidRPr="00AD5A02">
        <w:rPr>
          <w:rFonts w:ascii="Arial" w:hAnsi="Arial" w:cs="Arial"/>
          <w:b/>
          <w:sz w:val="28"/>
          <w:szCs w:val="28"/>
          <w:lang w:eastAsia="ru-RU"/>
        </w:rPr>
        <w:t>Егорьевского</w:t>
      </w:r>
      <w:r w:rsidR="000A610C" w:rsidRPr="00AD5A02">
        <w:rPr>
          <w:rFonts w:ascii="Arial" w:hAnsi="Arial" w:cs="Arial"/>
          <w:b/>
          <w:sz w:val="28"/>
          <w:szCs w:val="28"/>
          <w:lang w:eastAsia="ru-RU"/>
        </w:rPr>
        <w:t xml:space="preserve"> сельсовета Касторенского р</w:t>
      </w:r>
      <w:r w:rsidR="003F1B2B" w:rsidRPr="00AD5A02">
        <w:rPr>
          <w:rFonts w:ascii="Arial" w:hAnsi="Arial" w:cs="Arial"/>
          <w:b/>
          <w:sz w:val="28"/>
          <w:szCs w:val="28"/>
          <w:lang w:eastAsia="ru-RU"/>
        </w:rPr>
        <w:t>айона   Курской области на 2017-2019</w:t>
      </w:r>
      <w:r w:rsidR="000A610C" w:rsidRPr="00AD5A02">
        <w:rPr>
          <w:rFonts w:ascii="Arial" w:hAnsi="Arial" w:cs="Arial"/>
          <w:b/>
          <w:sz w:val="28"/>
          <w:szCs w:val="28"/>
          <w:lang w:eastAsia="ru-RU"/>
        </w:rPr>
        <w:t xml:space="preserve"> год</w:t>
      </w:r>
      <w:r w:rsidR="003F1B2B" w:rsidRPr="00AD5A02">
        <w:rPr>
          <w:rFonts w:ascii="Arial" w:hAnsi="Arial" w:cs="Arial"/>
          <w:b/>
          <w:sz w:val="28"/>
          <w:szCs w:val="28"/>
          <w:lang w:eastAsia="ru-RU"/>
        </w:rPr>
        <w:t>а</w:t>
      </w:r>
      <w:r w:rsidR="000A610C" w:rsidRPr="00AD5A02">
        <w:rPr>
          <w:rFonts w:ascii="Arial" w:hAnsi="Arial" w:cs="Arial"/>
          <w:b/>
          <w:sz w:val="28"/>
          <w:szCs w:val="28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AD5A02" w:rsidRDefault="000A610C" w:rsidP="00AD5A02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A610C" w:rsidRPr="00AD5A02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r w:rsidR="00805527" w:rsidRPr="00AD5A02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AD5A02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 района    Курской  области ПОСТАНОВЛЯЕТ:</w:t>
      </w:r>
      <w:r w:rsidRPr="00AD5A02">
        <w:rPr>
          <w:rFonts w:ascii="Arial" w:hAnsi="Arial" w:cs="Arial"/>
          <w:b/>
          <w:bCs/>
          <w:sz w:val="24"/>
          <w:szCs w:val="24"/>
          <w:lang w:eastAsia="ru-RU"/>
        </w:rPr>
        <w:t>   </w:t>
      </w:r>
    </w:p>
    <w:p w:rsidR="000A610C" w:rsidRPr="00AD5A02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 xml:space="preserve"> 1. Утвердить муниципальную программу </w:t>
      </w:r>
      <w:r w:rsidR="00805527" w:rsidRPr="00AD5A02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AD5A02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района К</w:t>
      </w:r>
      <w:r w:rsidR="003F1B2B" w:rsidRPr="00AD5A02">
        <w:rPr>
          <w:rFonts w:ascii="Arial" w:hAnsi="Arial" w:cs="Arial"/>
          <w:sz w:val="24"/>
          <w:szCs w:val="24"/>
          <w:lang w:eastAsia="ru-RU"/>
        </w:rPr>
        <w:t>урской области на 2017-2019</w:t>
      </w:r>
      <w:r w:rsidRPr="00AD5A02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F1B2B" w:rsidRPr="00AD5A02">
        <w:rPr>
          <w:rFonts w:ascii="Arial" w:hAnsi="Arial" w:cs="Arial"/>
          <w:sz w:val="24"/>
          <w:szCs w:val="24"/>
          <w:lang w:eastAsia="ru-RU"/>
        </w:rPr>
        <w:t>а</w:t>
      </w:r>
      <w:r w:rsidRPr="00AD5A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A02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ресурсами» </w:t>
      </w:r>
      <w:r w:rsidRPr="00AD5A02">
        <w:rPr>
          <w:rFonts w:ascii="Arial" w:hAnsi="Arial" w:cs="Arial"/>
          <w:sz w:val="24"/>
          <w:szCs w:val="24"/>
          <w:lang w:eastAsia="ru-RU"/>
        </w:rPr>
        <w:t>согласно приложению (далее Программа).</w:t>
      </w:r>
    </w:p>
    <w:p w:rsidR="000A610C" w:rsidRPr="00AD5A02" w:rsidRDefault="000A610C" w:rsidP="00072EFE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 w:rsidRPr="00AD5A02">
        <w:rPr>
          <w:rFonts w:ascii="Arial" w:hAnsi="Arial" w:cs="Arial"/>
          <w:sz w:val="24"/>
          <w:szCs w:val="24"/>
          <w:lang w:eastAsia="ru-RU"/>
        </w:rPr>
        <w:t>т мероприятия и</w:t>
      </w:r>
      <w:r w:rsidRPr="00AD5A02">
        <w:rPr>
          <w:rFonts w:ascii="Arial" w:hAnsi="Arial" w:cs="Arial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0A610C" w:rsidRPr="00AD5A02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AD5A02">
        <w:rPr>
          <w:rFonts w:ascii="Arial" w:hAnsi="Arial" w:cs="Arial"/>
          <w:sz w:val="24"/>
          <w:szCs w:val="24"/>
        </w:rPr>
        <w:t>Настоящее постановле</w:t>
      </w:r>
      <w:r w:rsidR="003F1B2B" w:rsidRPr="00AD5A02">
        <w:rPr>
          <w:rFonts w:ascii="Arial" w:hAnsi="Arial" w:cs="Arial"/>
          <w:sz w:val="24"/>
          <w:szCs w:val="24"/>
        </w:rPr>
        <w:t>ние вступает в силу с 01.01.2017</w:t>
      </w:r>
      <w:r w:rsidRPr="00AD5A02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805527" w:rsidRPr="00AD5A02">
        <w:rPr>
          <w:rFonts w:ascii="Arial" w:hAnsi="Arial" w:cs="Arial"/>
          <w:sz w:val="24"/>
          <w:szCs w:val="24"/>
        </w:rPr>
        <w:t>Егорьевского</w:t>
      </w:r>
      <w:r w:rsidRPr="00AD5A02">
        <w:rPr>
          <w:rFonts w:ascii="Arial" w:hAnsi="Arial" w:cs="Arial"/>
          <w:sz w:val="24"/>
          <w:szCs w:val="24"/>
        </w:rPr>
        <w:t xml:space="preserve"> сельсовета.</w:t>
      </w:r>
    </w:p>
    <w:p w:rsidR="000A610C" w:rsidRPr="00AD5A02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AD5A0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D5A02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Pr="00AD5A02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10C" w:rsidRPr="00AD5A02" w:rsidRDefault="000A610C" w:rsidP="008170A5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6FD6" w:rsidRPr="00AD5A02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>Глава</w:t>
      </w:r>
      <w:r w:rsidR="000A610C" w:rsidRPr="00AD5A0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05527" w:rsidRPr="00AD5A02">
        <w:rPr>
          <w:rFonts w:ascii="Arial" w:hAnsi="Arial" w:cs="Arial"/>
          <w:sz w:val="24"/>
          <w:szCs w:val="24"/>
          <w:lang w:eastAsia="ru-RU"/>
        </w:rPr>
        <w:t>Егорьевского</w:t>
      </w:r>
      <w:r w:rsidR="000A610C" w:rsidRPr="00AD5A0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805527" w:rsidRPr="00AD5A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Н.Ю.Голубева</w:t>
      </w:r>
    </w:p>
    <w:p w:rsidR="000A610C" w:rsidRPr="00AD5A02" w:rsidRDefault="00AD5A02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  <w:r w:rsidRPr="00AD5A0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3F1B2B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. 2016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88-в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</w:rPr>
        <w:t xml:space="preserve">    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о района Курской области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80552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2017-2019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- </w:t>
            </w:r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3F1B2B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2017-2019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74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43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4148">
        <w:rPr>
          <w:rFonts w:ascii="Times New Roman" w:hAnsi="Times New Roman" w:cs="Times New Roman"/>
          <w:sz w:val="24"/>
          <w:szCs w:val="24"/>
          <w:lang w:eastAsia="ru-RU"/>
        </w:rPr>
        <w:t>6000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74148">
        <w:rPr>
          <w:rFonts w:ascii="Times New Roman" w:hAnsi="Times New Roman" w:cs="Times New Roman"/>
          <w:sz w:val="24"/>
          <w:szCs w:val="24"/>
          <w:lang w:eastAsia="ru-RU"/>
        </w:rPr>
        <w:t>6000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 по Касторенскому району,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своё имущество на учет в 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стре по Курской области,  с целью пополнения налогооблагаемой базы и увеличения поступлений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4148" w:rsidRDefault="00D74148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D74148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D7414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D74148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8055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района Курской области на 2017-2019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80552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2017-2019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741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D7414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5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4148">
        <w:rPr>
          <w:rFonts w:ascii="Times New Roman" w:hAnsi="Times New Roman" w:cs="Times New Roman"/>
          <w:b/>
          <w:sz w:val="24"/>
          <w:szCs w:val="24"/>
          <w:lang w:eastAsia="ru-RU"/>
        </w:rPr>
        <w:t>6000</w:t>
      </w:r>
      <w:r w:rsidR="004925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D74148"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B23378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8475E"/>
    <w:rsid w:val="002C6A6C"/>
    <w:rsid w:val="00311B20"/>
    <w:rsid w:val="003541C6"/>
    <w:rsid w:val="003F1B2B"/>
    <w:rsid w:val="003F1D77"/>
    <w:rsid w:val="0046077E"/>
    <w:rsid w:val="004925B1"/>
    <w:rsid w:val="004B2675"/>
    <w:rsid w:val="004B6D33"/>
    <w:rsid w:val="004E3888"/>
    <w:rsid w:val="0050239B"/>
    <w:rsid w:val="00502BF1"/>
    <w:rsid w:val="00525131"/>
    <w:rsid w:val="00537902"/>
    <w:rsid w:val="005974AF"/>
    <w:rsid w:val="006A4282"/>
    <w:rsid w:val="006B2705"/>
    <w:rsid w:val="006D0C42"/>
    <w:rsid w:val="006D1BFB"/>
    <w:rsid w:val="007144DA"/>
    <w:rsid w:val="00731550"/>
    <w:rsid w:val="007A4502"/>
    <w:rsid w:val="007C2B9D"/>
    <w:rsid w:val="007F48E1"/>
    <w:rsid w:val="00800BEC"/>
    <w:rsid w:val="00805527"/>
    <w:rsid w:val="008170A5"/>
    <w:rsid w:val="00871ACD"/>
    <w:rsid w:val="008829BE"/>
    <w:rsid w:val="008A6991"/>
    <w:rsid w:val="008D07D1"/>
    <w:rsid w:val="00916195"/>
    <w:rsid w:val="00A22B6D"/>
    <w:rsid w:val="00A3652D"/>
    <w:rsid w:val="00A8490F"/>
    <w:rsid w:val="00AA754F"/>
    <w:rsid w:val="00AB5C56"/>
    <w:rsid w:val="00AD5A02"/>
    <w:rsid w:val="00B23378"/>
    <w:rsid w:val="00B236E7"/>
    <w:rsid w:val="00B46957"/>
    <w:rsid w:val="00B9234B"/>
    <w:rsid w:val="00BC1A3A"/>
    <w:rsid w:val="00C07499"/>
    <w:rsid w:val="00C54A76"/>
    <w:rsid w:val="00C70604"/>
    <w:rsid w:val="00C767ED"/>
    <w:rsid w:val="00D14E5B"/>
    <w:rsid w:val="00D245FA"/>
    <w:rsid w:val="00D41B47"/>
    <w:rsid w:val="00D42D90"/>
    <w:rsid w:val="00D74148"/>
    <w:rsid w:val="00E61395"/>
    <w:rsid w:val="00E7748F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2017-02-15T10:46:00Z</cp:lastPrinted>
  <dcterms:created xsi:type="dcterms:W3CDTF">2017-02-02T12:15:00Z</dcterms:created>
  <dcterms:modified xsi:type="dcterms:W3CDTF">2017-02-15T10:47:00Z</dcterms:modified>
</cp:coreProperties>
</file>