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D8" w:rsidRDefault="00B549D8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                                                                  ПРОЕКТ</w:t>
      </w:r>
    </w:p>
    <w:p w:rsidR="0059304B" w:rsidRDefault="0059304B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</w:p>
    <w:p w:rsidR="00972A5D" w:rsidRDefault="00972A5D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>РОССИЙСКАЯ ФЕДЕРАЦИЯ</w:t>
      </w:r>
    </w:p>
    <w:p w:rsidR="008B2732" w:rsidRPr="00972A5D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 w:rsidRPr="008B2732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АДМИНИСТРАЦИЯ </w:t>
      </w:r>
      <w:r w:rsidR="0059304B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ЕГОРЬЕВСКОГО</w:t>
      </w:r>
      <w:r w:rsidRPr="008B2732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 xml:space="preserve"> сельсовета</w:t>
      </w:r>
    </w:p>
    <w:p w:rsidR="008B2732" w:rsidRPr="008B2732" w:rsidRDefault="00972A5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КАСТОРЕНСКОГО</w:t>
      </w:r>
      <w:r w:rsidR="008B2732" w:rsidRPr="008B27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РАЙОНА  КУРСКОЙ  ОБЛАСТИ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B2732" w:rsidRDefault="008B2732" w:rsidP="008B2732">
      <w:pPr>
        <w:pStyle w:val="ac"/>
        <w:jc w:val="center"/>
        <w:rPr>
          <w:b/>
          <w:spacing w:val="76"/>
          <w:sz w:val="32"/>
          <w:szCs w:val="32"/>
          <w:lang w:eastAsia="ar-SA"/>
        </w:rPr>
      </w:pPr>
      <w:proofErr w:type="gramStart"/>
      <w:r w:rsidRPr="008B2732">
        <w:rPr>
          <w:b/>
          <w:spacing w:val="76"/>
          <w:sz w:val="32"/>
          <w:szCs w:val="32"/>
          <w:lang w:eastAsia="ar-SA"/>
        </w:rPr>
        <w:t>П</w:t>
      </w:r>
      <w:proofErr w:type="gramEnd"/>
      <w:r w:rsidRPr="008B2732">
        <w:rPr>
          <w:b/>
          <w:spacing w:val="76"/>
          <w:sz w:val="32"/>
          <w:szCs w:val="32"/>
          <w:lang w:eastAsia="ar-SA"/>
        </w:rPr>
        <w:t xml:space="preserve"> О С Т А Н О В Л Е Н И </w:t>
      </w:r>
      <w:r>
        <w:rPr>
          <w:b/>
          <w:spacing w:val="76"/>
          <w:sz w:val="32"/>
          <w:szCs w:val="32"/>
          <w:lang w:eastAsia="ar-SA"/>
        </w:rPr>
        <w:t>Е</w:t>
      </w:r>
    </w:p>
    <w:p w:rsidR="0059304B" w:rsidRDefault="004F3F44" w:rsidP="00B80B2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«__» _____ 2024 г.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__</w:t>
      </w:r>
      <w:r w:rsidR="00B94A86"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B94A86" w:rsidRPr="00B80B24" w:rsidRDefault="00B94A86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B94A86" w:rsidRPr="00B80B24" w:rsidRDefault="005544EE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создания места (площадки) накопления </w:t>
      </w:r>
      <w:proofErr w:type="gramStart"/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твердых</w:t>
      </w:r>
      <w:proofErr w:type="gramEnd"/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8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10" w:anchor="64U0IK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972A5D"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972A5D"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Егорьевский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Касторенского района Курской области,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972A5D" w:rsidRPr="00972A5D" w:rsidRDefault="00972A5D" w:rsidP="00972A5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A86">
        <w:rPr>
          <w:color w:val="000000"/>
          <w:sz w:val="28"/>
          <w:szCs w:val="28"/>
        </w:rPr>
        <w:t xml:space="preserve">2. </w:t>
      </w:r>
      <w:r w:rsidRPr="00972A5D">
        <w:rPr>
          <w:sz w:val="28"/>
          <w:szCs w:val="28"/>
        </w:rPr>
        <w:t xml:space="preserve">Настоящее постановление подлежит обнародованию и размещению на официальном  сайте Администрации </w:t>
      </w:r>
      <w:r w:rsidR="0059304B">
        <w:rPr>
          <w:sz w:val="28"/>
          <w:szCs w:val="28"/>
        </w:rPr>
        <w:t>Егорьевского</w:t>
      </w:r>
      <w:r w:rsidRPr="00972A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Касторенского района  </w:t>
      </w:r>
      <w:r w:rsidRPr="00972A5D">
        <w:rPr>
          <w:sz w:val="28"/>
          <w:szCs w:val="28"/>
        </w:rPr>
        <w:t>в информационно-телекоммуникационной сети «Интернет».</w:t>
      </w:r>
    </w:p>
    <w:p w:rsidR="00B94A86" w:rsidRPr="00B94A86" w:rsidRDefault="00B94A86" w:rsidP="00972A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r w:rsidR="0059304B">
        <w:rPr>
          <w:rFonts w:ascii="Times New Roman" w:eastAsia="Calibri" w:hAnsi="Times New Roman" w:cs="Times New Roman"/>
          <w:color w:val="000000"/>
          <w:sz w:val="28"/>
          <w:szCs w:val="28"/>
        </w:rPr>
        <w:t>Егорьевского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8B2732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Касторенского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   </w:t>
      </w:r>
      <w:r w:rsidR="00593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304B">
        <w:rPr>
          <w:rFonts w:ascii="Times New Roman" w:eastAsia="Calibri" w:hAnsi="Times New Roman" w:cs="Times New Roman"/>
          <w:color w:val="000000"/>
          <w:sz w:val="28"/>
          <w:szCs w:val="28"/>
        </w:rPr>
        <w:t>А.П.Бердников</w:t>
      </w:r>
      <w:proofErr w:type="spellEnd"/>
    </w:p>
    <w:p w:rsidR="00972A5D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732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ПРОЕКТ</w:t>
      </w:r>
    </w:p>
    <w:p w:rsidR="008B2732" w:rsidRPr="00B94A86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593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« 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85302">
      <w:pPr>
        <w:spacing w:after="0" w:line="240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853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85302" w:rsidRPr="0059304B" w:rsidRDefault="00B85302" w:rsidP="00B8530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04B" w:rsidRP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59304B" w:rsidRPr="0059304B">
        <w:rPr>
          <w:rStyle w:val="a3"/>
          <w:rFonts w:ascii="PT-Astra-Sans-Regular" w:hAnsi="PT-Astra-Sans-Regular"/>
          <w:color w:val="auto"/>
          <w:sz w:val="28"/>
          <w:szCs w:val="28"/>
          <w:u w:val="none"/>
          <w:shd w:val="clear" w:color="auto" w:fill="FFFFFF"/>
        </w:rPr>
        <w:t>egorevskij-r38.gosweb.gosuslugi.ru</w:t>
      </w:r>
    </w:p>
    <w:p w:rsidR="00B94A86" w:rsidRPr="00B85302" w:rsidRDefault="00B85302" w:rsidP="00B85302">
      <w:pPr>
        <w:spacing w:line="240" w:lineRule="auto"/>
        <w:jc w:val="both"/>
      </w:pPr>
      <w:r>
        <w:t xml:space="preserve">  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</w:t>
      </w:r>
      <w:r w:rsidR="00B8530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в течение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3 календарных дней со дня принятия такого решения.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в соответствии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lastRenderedPageBreak/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 xml:space="preserve">28 января 2021 г. «Об утверждении </w:t>
      </w:r>
      <w:proofErr w:type="spellStart"/>
      <w:r w:rsidRPr="00B94A86">
        <w:rPr>
          <w:rFonts w:ascii="Times New Roman" w:hAnsi="Times New Roman" w:cs="Times New Roman"/>
          <w:sz w:val="28"/>
          <w:szCs w:val="28"/>
        </w:rPr>
        <w:t>СинПиН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80852" wp14:editId="1AE42542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r w:rsidR="0059304B">
        <w:rPr>
          <w:rFonts w:ascii="Times New Roman" w:hAnsi="Times New Roman" w:cs="Times New Roman"/>
          <w:sz w:val="28"/>
          <w:szCs w:val="28"/>
        </w:rPr>
        <w:t>Егорьевского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2A5D">
        <w:rPr>
          <w:rFonts w:ascii="Times New Roman" w:hAnsi="Times New Roman" w:cs="Times New Roman"/>
          <w:sz w:val="28"/>
          <w:szCs w:val="28"/>
        </w:rPr>
        <w:t>Касторенского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85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2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3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</w:t>
        </w:r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4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5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наличие полной, достоверной и доступной для Заявителя информации 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устанавливает личность обратившегося Заявителя путем проверки документа, удостоверяющего его личность (в случае обращения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6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3.3.4.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Текущий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5.4.1. Граждане, их объединения и организации могут контролировать предоставление муниципальной услуги путем получения информации по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случае установления в ходе или по результатам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предусмотренных частью 1.1 статьи 16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гражданином по данному вопросу при условии, что указанное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2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Уполномоченное на рассмотрение жалобы должностное лицо  Администрации,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eastAsia="Calibri" w:hAnsi="Times New Roman" w:cs="Times New Roman"/>
          <w:b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eastAsia="Calibri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</w:t>
      </w: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End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исправлении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допущенных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опечаток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Pr="00B94A86">
        <w:rPr>
          <w:rFonts w:ascii="Times New Roman" w:eastAsia="Arial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(или)</w:t>
      </w:r>
      <w:r w:rsidRPr="00B94A8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(опечатку) 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4DF4CCCB" wp14:editId="43616D33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59304B">
        <w:rPr>
          <w:rFonts w:ascii="Times New Roman" w:eastAsia="Calibri" w:hAnsi="Times New Roman" w:cs="Times New Roman"/>
          <w:color w:val="000000"/>
          <w:sz w:val="24"/>
          <w:szCs w:val="24"/>
        </w:rPr>
        <w:t>Егорьевского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  <w:proofErr w:type="gramEnd"/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59304B" w:rsidRDefault="0059304B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59304B" w:rsidRDefault="0059304B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DE" w:rsidRDefault="001C31DE" w:rsidP="00B94A86">
      <w:pPr>
        <w:spacing w:after="0" w:line="240" w:lineRule="auto"/>
      </w:pPr>
      <w:r>
        <w:separator/>
      </w:r>
    </w:p>
  </w:endnote>
  <w:endnote w:type="continuationSeparator" w:id="0">
    <w:p w:rsidR="001C31DE" w:rsidRDefault="001C31DE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DE" w:rsidRDefault="001C31DE" w:rsidP="00B94A86">
      <w:pPr>
        <w:spacing w:after="0" w:line="240" w:lineRule="auto"/>
      </w:pPr>
      <w:r>
        <w:separator/>
      </w:r>
    </w:p>
  </w:footnote>
  <w:footnote w:type="continuationSeparator" w:id="0">
    <w:p w:rsidR="001C31DE" w:rsidRDefault="001C31DE" w:rsidP="00B94A86">
      <w:pPr>
        <w:spacing w:after="0" w:line="240" w:lineRule="auto"/>
      </w:pPr>
      <w:r>
        <w:continuationSeparator/>
      </w:r>
    </w:p>
  </w:footnote>
  <w:footnote w:id="1">
    <w:p w:rsidR="0059304B" w:rsidRDefault="0059304B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59304B" w:rsidRDefault="0059304B" w:rsidP="00B94A86">
      <w:pPr>
        <w:pStyle w:val="a4"/>
      </w:pPr>
    </w:p>
    <w:p w:rsidR="0059304B" w:rsidRDefault="0059304B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1C31DE"/>
    <w:rsid w:val="003046D5"/>
    <w:rsid w:val="003C38A5"/>
    <w:rsid w:val="00416DCE"/>
    <w:rsid w:val="004F3F44"/>
    <w:rsid w:val="005544EE"/>
    <w:rsid w:val="0059304B"/>
    <w:rsid w:val="008B2732"/>
    <w:rsid w:val="008F1EE9"/>
    <w:rsid w:val="00906BCC"/>
    <w:rsid w:val="00972A5D"/>
    <w:rsid w:val="009914F2"/>
    <w:rsid w:val="009A340F"/>
    <w:rsid w:val="00AF42BD"/>
    <w:rsid w:val="00B549D8"/>
    <w:rsid w:val="00B80B24"/>
    <w:rsid w:val="00B85302"/>
    <w:rsid w:val="00B94A86"/>
    <w:rsid w:val="00C32C76"/>
    <w:rsid w:val="00D1592A"/>
    <w:rsid w:val="00DD16A2"/>
    <w:rsid w:val="00EF04D1"/>
    <w:rsid w:val="00F153A0"/>
    <w:rsid w:val="00F7359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hyperlink" Target="https://docs.cntd.ru/document/9022714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364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9859</Words>
  <Characters>56202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2024-05-02T07:01:00Z</dcterms:created>
  <dcterms:modified xsi:type="dcterms:W3CDTF">2024-07-11T06:57:00Z</dcterms:modified>
</cp:coreProperties>
</file>